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5B" w:rsidRPr="00D7101F" w:rsidRDefault="00A4075B" w:rsidP="00A4075B">
      <w:pPr>
        <w:ind w:left="-540"/>
      </w:pPr>
      <w:r w:rsidRPr="00D7101F">
        <w:t>ΕΛΛΗΝΙΚΗ ΔΗΜΟΚΡΑΤΙΑ</w:t>
      </w:r>
    </w:p>
    <w:p w:rsidR="00A4075B" w:rsidRPr="00D7101F" w:rsidRDefault="00A4075B" w:rsidP="00A4075B">
      <w:pPr>
        <w:ind w:left="-540"/>
      </w:pPr>
      <w:r w:rsidRPr="00D7101F">
        <w:t>ΥΠΟΥΡΓΕΙΟ ΥΓΕΙΑΣ ΚΑΙ</w:t>
      </w:r>
    </w:p>
    <w:p w:rsidR="00A4075B" w:rsidRPr="00D7101F" w:rsidRDefault="00A4075B" w:rsidP="00A4075B">
      <w:pPr>
        <w:ind w:left="-540"/>
      </w:pPr>
      <w:r w:rsidRPr="00D7101F">
        <w:t>ΚΟΙΝΩΝΙΚΗΣ ΑΛΛΗΛΕΓΓΥΗΣ</w:t>
      </w:r>
    </w:p>
    <w:p w:rsidR="00A4075B" w:rsidRPr="00D7101F" w:rsidRDefault="00A4075B" w:rsidP="00A4075B">
      <w:pPr>
        <w:ind w:left="-540"/>
      </w:pPr>
      <w:r w:rsidRPr="00D7101F">
        <w:t>ΓΕΝΙΚΟ ΝΟΣΟΚΟΜΕΙΟ ΑΘΗΝΩΝ</w:t>
      </w:r>
    </w:p>
    <w:p w:rsidR="00A4075B" w:rsidRPr="00D7101F" w:rsidRDefault="00A4075B" w:rsidP="001C722B">
      <w:pPr>
        <w:ind w:left="-540" w:right="-483"/>
      </w:pPr>
      <w:r w:rsidRPr="00D7101F">
        <w:t>ΚΟΡΓΙΑΛΕΝΕΙΟ-ΜΠΕΝΑΚΕΙΟ Ε.Ε.Σ</w:t>
      </w:r>
      <w:r w:rsidR="0064608B" w:rsidRPr="0064608B">
        <w:tab/>
      </w:r>
      <w:r w:rsidR="0064608B" w:rsidRPr="0064608B">
        <w:tab/>
      </w:r>
      <w:r w:rsidR="0064608B" w:rsidRPr="0064608B">
        <w:tab/>
      </w:r>
      <w:r w:rsidR="0064608B" w:rsidRPr="0064608B">
        <w:tab/>
      </w:r>
      <w:r w:rsidR="0064608B" w:rsidRPr="0064608B">
        <w:tab/>
      </w:r>
    </w:p>
    <w:p w:rsidR="00A4075B" w:rsidRPr="00D7101F" w:rsidRDefault="00A4075B" w:rsidP="00A4075B">
      <w:pPr>
        <w:ind w:left="-540"/>
      </w:pPr>
      <w:r w:rsidRPr="00D7101F">
        <w:t xml:space="preserve">ΜΙΚΡΟΒΙΟΛΟΓΙΚΟ ΤΜΗΜΑ                                                   </w:t>
      </w:r>
      <w:r>
        <w:t xml:space="preserve">               </w:t>
      </w:r>
    </w:p>
    <w:p w:rsidR="00A4075B" w:rsidRPr="00D7101F" w:rsidRDefault="00A4075B" w:rsidP="00A4075B"/>
    <w:p w:rsidR="00A4075B" w:rsidRPr="00D7101F" w:rsidRDefault="00A4075B" w:rsidP="00A4075B"/>
    <w:p w:rsidR="00A4075B" w:rsidRPr="003F0E4D" w:rsidRDefault="00A4075B" w:rsidP="00A4075B"/>
    <w:p w:rsidR="00A4075B" w:rsidRPr="003F0E4D" w:rsidRDefault="00A4075B" w:rsidP="00A4075B"/>
    <w:p w:rsidR="00A4075B" w:rsidRPr="003F0E4D" w:rsidRDefault="00A4075B" w:rsidP="00A4075B">
      <w:pPr>
        <w:jc w:val="center"/>
      </w:pPr>
      <w:r>
        <w:t>ΠΡΟΣ: ΤΜΗΜΑ ΠΡΟΜΗΘΕΙΩΝ</w:t>
      </w:r>
    </w:p>
    <w:p w:rsidR="00A4075B" w:rsidRDefault="00A4075B" w:rsidP="00A4075B">
      <w:pPr>
        <w:jc w:val="both"/>
      </w:pPr>
    </w:p>
    <w:p w:rsidR="00A4075B" w:rsidRPr="003F0E4D" w:rsidRDefault="00A4075B" w:rsidP="00A4075B">
      <w:pPr>
        <w:ind w:hanging="567"/>
        <w:jc w:val="both"/>
      </w:pPr>
      <w:r w:rsidRPr="00D7101F">
        <w:t>ΘΕΜΑ:</w:t>
      </w:r>
      <w:r>
        <w:t xml:space="preserve"> Προδιαγραφές για αντιδραστήρια </w:t>
      </w:r>
      <w:proofErr w:type="spellStart"/>
      <w:r>
        <w:t>χημειοφωταύγειας</w:t>
      </w:r>
      <w:proofErr w:type="spellEnd"/>
      <w:r>
        <w:t xml:space="preserve"> με παροχή συνοδού εξοπλισμού (Αυτόματος αναλυτής). </w:t>
      </w:r>
    </w:p>
    <w:p w:rsidR="00C312D7" w:rsidRDefault="00C312D7"/>
    <w:p w:rsidR="0094405E" w:rsidRDefault="0094405E"/>
    <w:p w:rsidR="00F617F6" w:rsidRDefault="0094405E" w:rsidP="00334AD2">
      <w:pPr>
        <w:ind w:left="-567"/>
        <w:jc w:val="both"/>
      </w:pPr>
      <w:r>
        <w:t xml:space="preserve">Ο </w:t>
      </w:r>
      <w:proofErr w:type="spellStart"/>
      <w:r>
        <w:t>ιολογικός</w:t>
      </w:r>
      <w:proofErr w:type="spellEnd"/>
      <w:r>
        <w:t xml:space="preserve"> έλεγχος με τη μέτρηση αντισωμάτων στον ορό αίματος έχει βοηθήσει τα μέγιστα στην πρόληψη και τη θεραπεία κρίσιμων νοσημάτων για την υγεία του πληθυσμού της κοινότητας, των εγκύων, των </w:t>
      </w:r>
      <w:proofErr w:type="spellStart"/>
      <w:r>
        <w:t>ανοσοκατεσταλμένων</w:t>
      </w:r>
      <w:proofErr w:type="spellEnd"/>
      <w:r>
        <w:t xml:space="preserve"> και των ασθενών με ειδικές λοιμώξεις, όπως </w:t>
      </w:r>
      <w:r>
        <w:rPr>
          <w:lang w:val="en-US"/>
        </w:rPr>
        <w:t>HIV</w:t>
      </w:r>
      <w:r>
        <w:t xml:space="preserve"> και ηπατίτιδες, καθώς και σε περιπτώσεις μεταμόσχευσης οργάνων. Ο ιός </w:t>
      </w:r>
      <w:r>
        <w:rPr>
          <w:lang w:val="en-US"/>
        </w:rPr>
        <w:t>EBV</w:t>
      </w:r>
      <w:r w:rsidRPr="0094405E">
        <w:t xml:space="preserve"> </w:t>
      </w:r>
      <w:r>
        <w:t xml:space="preserve">είναι ο αιτιολογικός παράγοντας της λοιμώδους μονοπυρήνωσης και έχει ενοχοποιηθεί για το λέμφωμα </w:t>
      </w:r>
      <w:proofErr w:type="spellStart"/>
      <w:r>
        <w:rPr>
          <w:lang w:val="en-US"/>
        </w:rPr>
        <w:t>Burkitt</w:t>
      </w:r>
      <w:proofErr w:type="spellEnd"/>
      <w:r w:rsidRPr="0094405E">
        <w:t xml:space="preserve">, </w:t>
      </w:r>
      <w:r>
        <w:t xml:space="preserve">το καρκίνωμα του ρινοφάρυγγα και το </w:t>
      </w:r>
      <w:r>
        <w:rPr>
          <w:lang w:val="en-US"/>
        </w:rPr>
        <w:t>X</w:t>
      </w:r>
      <w:r>
        <w:t xml:space="preserve"> φυλοσύνδετο </w:t>
      </w:r>
      <w:proofErr w:type="spellStart"/>
      <w:r>
        <w:t>λεμφοϋπερπλαστικό</w:t>
      </w:r>
      <w:proofErr w:type="spellEnd"/>
      <w:r>
        <w:t xml:space="preserve"> σύνδρομο. Ο ιός </w:t>
      </w:r>
      <w:r>
        <w:rPr>
          <w:lang w:val="en-US"/>
        </w:rPr>
        <w:t>CMV</w:t>
      </w:r>
      <w:r w:rsidRPr="001632F7">
        <w:t xml:space="preserve"> </w:t>
      </w:r>
      <w:r w:rsidR="001632F7">
        <w:t xml:space="preserve">μπορεί να προκαλέσει συγγενείς λοιμώξεις και </w:t>
      </w:r>
      <w:proofErr w:type="spellStart"/>
      <w:r w:rsidR="001632F7">
        <w:t>μεταγενετικές</w:t>
      </w:r>
      <w:proofErr w:type="spellEnd"/>
      <w:r w:rsidR="001632F7">
        <w:t xml:space="preserve"> λοιμώξεις με συμπτώματα που ενδέχεται να είναι σοβαρά και περιλαμβάνουν σπληνομεγαλία, πνευμονία, μυοκαρδίτιδα, εγκεφαλίτιδα. Ο ιός </w:t>
      </w:r>
      <w:r w:rsidR="001632F7">
        <w:rPr>
          <w:lang w:val="en-US"/>
        </w:rPr>
        <w:t>HSV</w:t>
      </w:r>
      <w:r w:rsidR="001632F7" w:rsidRPr="001632F7">
        <w:t xml:space="preserve"> 1 </w:t>
      </w:r>
      <w:r w:rsidR="001632F7">
        <w:t xml:space="preserve">και 2 αποτελεί δύο τύπους του ιού που προκαλούν λοιμώξεις στον άνθρωπο και περιλαμβάνουν από απλό φυσαλιδώδες εξάνθημα μέχρι και εγκεφαλίτιδα. Η τοξοπλάσμωση είναι μία ευρέως διαδεδομένη λοιμώδης νόσος που προκαλείται από ένα ενδοκυτταρικό πρωτόζωο-παράσιτο με ονομασία </w:t>
      </w:r>
      <w:proofErr w:type="spellStart"/>
      <w:r w:rsidR="001632F7">
        <w:rPr>
          <w:lang w:val="en-US"/>
        </w:rPr>
        <w:t>Toxoplasma</w:t>
      </w:r>
      <w:proofErr w:type="spellEnd"/>
      <w:r w:rsidR="001632F7" w:rsidRPr="001632F7">
        <w:t xml:space="preserve"> </w:t>
      </w:r>
      <w:proofErr w:type="spellStart"/>
      <w:r w:rsidR="001632F7">
        <w:rPr>
          <w:lang w:val="en-US"/>
        </w:rPr>
        <w:t>gondii</w:t>
      </w:r>
      <w:proofErr w:type="spellEnd"/>
      <w:r w:rsidR="001632F7" w:rsidRPr="001632F7">
        <w:t xml:space="preserve">. </w:t>
      </w:r>
      <w:r w:rsidR="001632F7">
        <w:t xml:space="preserve">Η τοξοπλάσμωση έχει γενικά καλοήθη εξέλιξη και είναι ιδιαίτερα </w:t>
      </w:r>
      <w:proofErr w:type="spellStart"/>
      <w:r w:rsidR="001632F7">
        <w:t>ασυμπτωματική</w:t>
      </w:r>
      <w:proofErr w:type="spellEnd"/>
      <w:r w:rsidR="001632F7">
        <w:t xml:space="preserve">, μερικές φορές έχει ήπια συμπτώματα  (κεφαλαλγία και πονόλαιμος). Σε εξαιρετικές περιπτώσεις μπορεί να εμφανιστούν σοβαρές παθήσεις, όπως </w:t>
      </w:r>
      <w:proofErr w:type="spellStart"/>
      <w:r w:rsidR="001632F7">
        <w:t>μυοκαρδιτιδα</w:t>
      </w:r>
      <w:proofErr w:type="spellEnd"/>
      <w:r w:rsidR="001632F7">
        <w:t xml:space="preserve">, ηπατίτιδα, πνευμονία, </w:t>
      </w:r>
      <w:proofErr w:type="spellStart"/>
      <w:r w:rsidR="001632F7">
        <w:t>μηνιγγοεγκεφαλίτιδα</w:t>
      </w:r>
      <w:proofErr w:type="spellEnd"/>
      <w:r w:rsidR="001632F7">
        <w:t xml:space="preserve">. Εάν η λοίμωξη εμφανιστεί σε μία έγκυο γυναίκα </w:t>
      </w:r>
      <w:r w:rsidR="00590300">
        <w:t>μπορεί</w:t>
      </w:r>
      <w:r w:rsidR="00F617F6">
        <w:t xml:space="preserve"> να αποτελέσει απειλή για το έμβρυο, πρόωρο τοκετό ή </w:t>
      </w:r>
      <w:proofErr w:type="spellStart"/>
      <w:r w:rsidR="00F617F6">
        <w:t>θνησιγέ</w:t>
      </w:r>
      <w:r w:rsidR="00625B62">
        <w:t>ν</w:t>
      </w:r>
      <w:r w:rsidR="00F617F6">
        <w:t>νεση</w:t>
      </w:r>
      <w:proofErr w:type="spellEnd"/>
      <w:r w:rsidR="00F617F6">
        <w:t xml:space="preserve">. Η ιλαρά είναι μία οξεία ιογενής νόσος, που αποτελεί μία από τις πιο εύκολα μεταδιδόμενες νόσους. </w:t>
      </w:r>
      <w:r w:rsidR="00334AD2">
        <w:t xml:space="preserve">Ως εκ τούτου η αποτύπωση του </w:t>
      </w:r>
      <w:proofErr w:type="spellStart"/>
      <w:r w:rsidR="00334AD2">
        <w:t>ιολογικού</w:t>
      </w:r>
      <w:proofErr w:type="spellEnd"/>
      <w:r w:rsidR="00334AD2">
        <w:t xml:space="preserve"> προφίλ του ασθενούς είναι υψίστης σημασίας για τη διάγνωση και τη θεραπεία. </w:t>
      </w:r>
    </w:p>
    <w:p w:rsidR="00334AD2" w:rsidRDefault="00334AD2" w:rsidP="00334AD2">
      <w:pPr>
        <w:ind w:left="-567"/>
        <w:jc w:val="both"/>
      </w:pPr>
    </w:p>
    <w:p w:rsidR="00334AD2" w:rsidRDefault="00334AD2" w:rsidP="00334AD2">
      <w:pPr>
        <w:ind w:left="-567"/>
        <w:jc w:val="both"/>
      </w:pPr>
      <w:r>
        <w:t>Οι εξετάσεις οι οποίες απαιτούνται ετησίως είναι:</w:t>
      </w:r>
    </w:p>
    <w:p w:rsidR="00334AD2" w:rsidRDefault="00334AD2" w:rsidP="00334AD2">
      <w:pPr>
        <w:ind w:left="-567"/>
        <w:jc w:val="both"/>
      </w:pPr>
      <w:r>
        <w:rPr>
          <w:lang w:val="en-US"/>
        </w:rPr>
        <w:t>EBV</w:t>
      </w:r>
      <w:r w:rsidRPr="00334AD2">
        <w:t xml:space="preserve"> </w:t>
      </w:r>
      <w:proofErr w:type="spellStart"/>
      <w:proofErr w:type="gramStart"/>
      <w:r>
        <w:rPr>
          <w:lang w:val="en-US"/>
        </w:rPr>
        <w:t>IgM</w:t>
      </w:r>
      <w:proofErr w:type="spellEnd"/>
      <w:r w:rsidR="00590300">
        <w:t xml:space="preserve"> :</w:t>
      </w:r>
      <w:proofErr w:type="gramEnd"/>
      <w:r w:rsidR="00590300">
        <w:t xml:space="preserve"> </w:t>
      </w:r>
      <w:r w:rsidR="00590300" w:rsidRPr="00590300">
        <w:t>50</w:t>
      </w:r>
      <w:r w:rsidRPr="00334AD2">
        <w:t xml:space="preserve">0 </w:t>
      </w:r>
      <w:r>
        <w:t>εξετάσεις</w:t>
      </w:r>
    </w:p>
    <w:p w:rsidR="00334AD2" w:rsidRDefault="00334AD2" w:rsidP="00334AD2">
      <w:pPr>
        <w:ind w:left="-567"/>
        <w:jc w:val="both"/>
      </w:pPr>
      <w:r>
        <w:rPr>
          <w:lang w:val="en-US"/>
        </w:rPr>
        <w:t>VCA</w:t>
      </w:r>
      <w:r w:rsidRPr="00334AD2">
        <w:t xml:space="preserve"> </w:t>
      </w:r>
      <w:proofErr w:type="spellStart"/>
      <w:proofErr w:type="gramStart"/>
      <w:r>
        <w:rPr>
          <w:lang w:val="en-US"/>
        </w:rPr>
        <w:t>IgG</w:t>
      </w:r>
      <w:proofErr w:type="spellEnd"/>
      <w:r w:rsidRPr="00334AD2">
        <w:t xml:space="preserve"> :</w:t>
      </w:r>
      <w:proofErr w:type="gramEnd"/>
      <w:r w:rsidRPr="00334AD2">
        <w:t xml:space="preserve"> </w:t>
      </w:r>
      <w:r w:rsidR="00590300" w:rsidRPr="00590300">
        <w:t>50</w:t>
      </w:r>
      <w:r>
        <w:t>0 εξετάσεις</w:t>
      </w:r>
    </w:p>
    <w:p w:rsidR="00334AD2" w:rsidRDefault="00334AD2" w:rsidP="00334AD2">
      <w:pPr>
        <w:ind w:left="-567"/>
        <w:jc w:val="both"/>
      </w:pPr>
      <w:r>
        <w:rPr>
          <w:lang w:val="en-US"/>
        </w:rPr>
        <w:t>CMV</w:t>
      </w:r>
      <w:r w:rsidRPr="00334AD2">
        <w:t xml:space="preserve"> </w:t>
      </w:r>
      <w:proofErr w:type="spellStart"/>
      <w:proofErr w:type="gramStart"/>
      <w:r>
        <w:rPr>
          <w:lang w:val="en-US"/>
        </w:rPr>
        <w:t>IgM</w:t>
      </w:r>
      <w:proofErr w:type="spellEnd"/>
      <w:r w:rsidR="00590300">
        <w:t xml:space="preserve"> :</w:t>
      </w:r>
      <w:proofErr w:type="gramEnd"/>
      <w:r w:rsidR="00590300">
        <w:t xml:space="preserve"> </w:t>
      </w:r>
      <w:r w:rsidR="00590300" w:rsidRPr="00590300">
        <w:t>50</w:t>
      </w:r>
      <w:r w:rsidRPr="00334AD2">
        <w:t xml:space="preserve">0 </w:t>
      </w:r>
      <w:r>
        <w:t xml:space="preserve">εξετάσεις </w:t>
      </w:r>
    </w:p>
    <w:p w:rsidR="00590300" w:rsidRPr="00590300" w:rsidRDefault="00590300" w:rsidP="00334AD2">
      <w:pPr>
        <w:ind w:left="-567"/>
        <w:jc w:val="both"/>
      </w:pPr>
      <w:r>
        <w:rPr>
          <w:lang w:val="en-US"/>
        </w:rPr>
        <w:t>CMV</w:t>
      </w:r>
      <w:r w:rsidRPr="00590300">
        <w:t xml:space="preserve"> </w:t>
      </w:r>
      <w:proofErr w:type="spellStart"/>
      <w:proofErr w:type="gramStart"/>
      <w:r>
        <w:rPr>
          <w:lang w:val="en-US"/>
        </w:rPr>
        <w:t>IgG</w:t>
      </w:r>
      <w:proofErr w:type="spellEnd"/>
      <w:r w:rsidRPr="00590300">
        <w:t xml:space="preserve"> :</w:t>
      </w:r>
      <w:proofErr w:type="gramEnd"/>
      <w:r w:rsidRPr="00590300">
        <w:t xml:space="preserve"> 50</w:t>
      </w:r>
      <w:r w:rsidRPr="00334AD2">
        <w:t xml:space="preserve">0 </w:t>
      </w:r>
      <w:r>
        <w:t>εξετάσεις</w:t>
      </w:r>
    </w:p>
    <w:p w:rsidR="00590300" w:rsidRDefault="00590300" w:rsidP="00334AD2">
      <w:pPr>
        <w:ind w:left="-567"/>
        <w:jc w:val="both"/>
      </w:pPr>
      <w:r>
        <w:rPr>
          <w:lang w:val="en-US"/>
        </w:rPr>
        <w:t>HSV</w:t>
      </w:r>
      <w:r w:rsidRPr="0064608B">
        <w:t xml:space="preserve"> ½ </w:t>
      </w:r>
      <w:proofErr w:type="spellStart"/>
      <w:proofErr w:type="gramStart"/>
      <w:r>
        <w:rPr>
          <w:lang w:val="en-US"/>
        </w:rPr>
        <w:t>IgM</w:t>
      </w:r>
      <w:proofErr w:type="spellEnd"/>
      <w:r w:rsidRPr="0064608B">
        <w:t xml:space="preserve"> :</w:t>
      </w:r>
      <w:proofErr w:type="gramEnd"/>
      <w:r w:rsidRPr="0064608B">
        <w:t xml:space="preserve"> </w:t>
      </w:r>
      <w:r w:rsidR="009357FE">
        <w:t>3</w:t>
      </w:r>
      <w:r w:rsidRPr="0064608B">
        <w:t xml:space="preserve">00 </w:t>
      </w:r>
      <w:r>
        <w:t xml:space="preserve">εξετάσεις </w:t>
      </w:r>
    </w:p>
    <w:p w:rsidR="009357FE" w:rsidRDefault="009357FE" w:rsidP="00334AD2">
      <w:pPr>
        <w:ind w:left="-567"/>
        <w:jc w:val="both"/>
      </w:pPr>
      <w:r>
        <w:rPr>
          <w:lang w:val="en-US"/>
        </w:rPr>
        <w:t>HSV</w:t>
      </w:r>
      <w:r w:rsidRPr="009357FE">
        <w:t xml:space="preserve"> ½ </w:t>
      </w:r>
      <w:proofErr w:type="spellStart"/>
      <w:proofErr w:type="gramStart"/>
      <w:r>
        <w:rPr>
          <w:lang w:val="en-US"/>
        </w:rPr>
        <w:t>IgG</w:t>
      </w:r>
      <w:proofErr w:type="spellEnd"/>
      <w:r w:rsidRPr="009357FE">
        <w:t xml:space="preserve"> :</w:t>
      </w:r>
      <w:proofErr w:type="gramEnd"/>
      <w:r w:rsidRPr="009357FE">
        <w:t xml:space="preserve"> 300 </w:t>
      </w:r>
      <w:r>
        <w:t>εξετάσεις</w:t>
      </w:r>
    </w:p>
    <w:p w:rsidR="009357FE" w:rsidRDefault="009357FE" w:rsidP="00334AD2">
      <w:pPr>
        <w:ind w:left="-567"/>
        <w:jc w:val="both"/>
      </w:pPr>
      <w:r>
        <w:rPr>
          <w:lang w:val="en-US"/>
        </w:rPr>
        <w:t>TOXO</w:t>
      </w:r>
      <w:r w:rsidRPr="009357FE">
        <w:t xml:space="preserve"> </w:t>
      </w:r>
      <w:proofErr w:type="spellStart"/>
      <w:proofErr w:type="gramStart"/>
      <w:r>
        <w:rPr>
          <w:lang w:val="en-US"/>
        </w:rPr>
        <w:t>IgM</w:t>
      </w:r>
      <w:proofErr w:type="spellEnd"/>
      <w:r w:rsidRPr="009357FE">
        <w:t xml:space="preserve"> :</w:t>
      </w:r>
      <w:proofErr w:type="gramEnd"/>
      <w:r w:rsidRPr="009357FE">
        <w:t xml:space="preserve"> 400 </w:t>
      </w:r>
      <w:r>
        <w:t>εξετάσεις</w:t>
      </w:r>
    </w:p>
    <w:p w:rsidR="009357FE" w:rsidRDefault="009357FE" w:rsidP="00334AD2">
      <w:pPr>
        <w:ind w:left="-567"/>
        <w:jc w:val="both"/>
      </w:pPr>
      <w:r>
        <w:rPr>
          <w:lang w:val="en-US"/>
        </w:rPr>
        <w:t>TOXO</w:t>
      </w:r>
      <w:r w:rsidRPr="009357FE">
        <w:t xml:space="preserve"> </w:t>
      </w:r>
      <w:proofErr w:type="spellStart"/>
      <w:proofErr w:type="gramStart"/>
      <w:r>
        <w:rPr>
          <w:lang w:val="en-US"/>
        </w:rPr>
        <w:t>IgG</w:t>
      </w:r>
      <w:proofErr w:type="spellEnd"/>
      <w:r w:rsidRPr="009357FE">
        <w:t xml:space="preserve"> :</w:t>
      </w:r>
      <w:proofErr w:type="gramEnd"/>
      <w:r w:rsidRPr="009357FE">
        <w:t xml:space="preserve"> 400 </w:t>
      </w:r>
      <w:r>
        <w:t>εξετάσεις</w:t>
      </w:r>
    </w:p>
    <w:p w:rsidR="009357FE" w:rsidRPr="0064608B" w:rsidRDefault="009357FE" w:rsidP="00334AD2">
      <w:pPr>
        <w:ind w:left="-567"/>
        <w:jc w:val="both"/>
      </w:pPr>
      <w:r>
        <w:rPr>
          <w:lang w:val="en-US"/>
        </w:rPr>
        <w:t>Measles</w:t>
      </w:r>
      <w:r w:rsidRPr="0064608B">
        <w:t xml:space="preserve"> </w:t>
      </w:r>
      <w:proofErr w:type="spellStart"/>
      <w:proofErr w:type="gramStart"/>
      <w:r>
        <w:rPr>
          <w:lang w:val="en-US"/>
        </w:rPr>
        <w:t>IgM</w:t>
      </w:r>
      <w:proofErr w:type="spellEnd"/>
      <w:r w:rsidRPr="0064608B">
        <w:t xml:space="preserve"> :</w:t>
      </w:r>
      <w:proofErr w:type="gramEnd"/>
      <w:r w:rsidRPr="0064608B">
        <w:t xml:space="preserve"> 200 </w:t>
      </w:r>
      <w:r>
        <w:t>εξετάσεις</w:t>
      </w:r>
    </w:p>
    <w:p w:rsidR="009357FE" w:rsidRDefault="009357FE" w:rsidP="009357FE">
      <w:pPr>
        <w:ind w:left="-567"/>
        <w:jc w:val="both"/>
      </w:pPr>
      <w:r>
        <w:rPr>
          <w:lang w:val="en-US"/>
        </w:rPr>
        <w:t>Measles</w:t>
      </w:r>
      <w:r w:rsidRPr="007475F0">
        <w:t xml:space="preserve"> </w:t>
      </w:r>
      <w:proofErr w:type="spellStart"/>
      <w:proofErr w:type="gramStart"/>
      <w:r>
        <w:rPr>
          <w:lang w:val="en-US"/>
        </w:rPr>
        <w:t>IgG</w:t>
      </w:r>
      <w:proofErr w:type="spellEnd"/>
      <w:r w:rsidRPr="007475F0">
        <w:t xml:space="preserve"> :</w:t>
      </w:r>
      <w:proofErr w:type="gramEnd"/>
      <w:r w:rsidRPr="007475F0">
        <w:t xml:space="preserve"> 200 </w:t>
      </w:r>
      <w:r>
        <w:t>εξετάσεις</w:t>
      </w:r>
    </w:p>
    <w:p w:rsidR="007475F0" w:rsidRDefault="007475F0" w:rsidP="007475F0">
      <w:pPr>
        <w:ind w:left="-567"/>
        <w:jc w:val="both"/>
      </w:pPr>
      <w:r w:rsidRPr="00BD6931">
        <w:rPr>
          <w:u w:val="single"/>
        </w:rPr>
        <w:t>Εκτιμώμενο Κόστος</w:t>
      </w:r>
      <w:r>
        <w:t xml:space="preserve">: </w:t>
      </w:r>
      <w:r w:rsidRPr="007475F0">
        <w:t xml:space="preserve"> </w:t>
      </w:r>
      <w:r>
        <w:t xml:space="preserve">24.500 </w:t>
      </w:r>
      <w:proofErr w:type="spellStart"/>
      <w:r>
        <w:t>ευρώ+ΦΠΑ</w:t>
      </w:r>
      <w:proofErr w:type="spellEnd"/>
      <w:r>
        <w:t>.</w:t>
      </w:r>
    </w:p>
    <w:p w:rsidR="00DE3DA6" w:rsidRPr="00D25464" w:rsidRDefault="00D25464" w:rsidP="00D25464">
      <w:pPr>
        <w:ind w:left="-567"/>
        <w:jc w:val="both"/>
        <w:rPr>
          <w:b/>
        </w:rPr>
      </w:pPr>
      <w:r w:rsidRPr="00D25464">
        <w:rPr>
          <w:b/>
          <w:u w:val="single"/>
        </w:rPr>
        <w:lastRenderedPageBreak/>
        <w:t>Τα α</w:t>
      </w:r>
      <w:r w:rsidR="00DE3DA6" w:rsidRPr="00D25464">
        <w:rPr>
          <w:b/>
          <w:u w:val="single"/>
        </w:rPr>
        <w:t xml:space="preserve">ντιδραστήρια </w:t>
      </w:r>
      <w:proofErr w:type="spellStart"/>
      <w:r w:rsidR="00DE3DA6" w:rsidRPr="00D25464">
        <w:rPr>
          <w:b/>
          <w:u w:val="single"/>
        </w:rPr>
        <w:t>χημειοφωταύγειας</w:t>
      </w:r>
      <w:proofErr w:type="spellEnd"/>
      <w:r w:rsidR="00DE3DA6" w:rsidRPr="00D25464">
        <w:rPr>
          <w:b/>
          <w:u w:val="single"/>
        </w:rPr>
        <w:t xml:space="preserve"> </w:t>
      </w:r>
      <w:r w:rsidRPr="00D25464">
        <w:rPr>
          <w:b/>
          <w:u w:val="single"/>
        </w:rPr>
        <w:t xml:space="preserve">να είναι συμβατά με αυτόματο αναλυτή (συνοδό εξοπλισμό) με </w:t>
      </w:r>
      <w:r w:rsidR="00DE3DA6" w:rsidRPr="00D25464">
        <w:rPr>
          <w:b/>
          <w:u w:val="single"/>
        </w:rPr>
        <w:t>τα κάτωθι χαρακτηριστικά:</w:t>
      </w:r>
    </w:p>
    <w:p w:rsidR="00DE3DA6" w:rsidRDefault="00DE3DA6" w:rsidP="00DE3DA6">
      <w:pPr>
        <w:jc w:val="both"/>
        <w:rPr>
          <w:u w:val="single"/>
        </w:rPr>
      </w:pPr>
    </w:p>
    <w:p w:rsidR="00DE3DA6" w:rsidRDefault="00DE3DA6" w:rsidP="00DE3DA6">
      <w:pPr>
        <w:numPr>
          <w:ilvl w:val="0"/>
          <w:numId w:val="1"/>
        </w:numPr>
        <w:jc w:val="both"/>
        <w:rPr>
          <w:lang w:val="en-US"/>
        </w:rPr>
      </w:pPr>
      <w:r>
        <w:t>Να</w:t>
      </w:r>
      <w:r>
        <w:rPr>
          <w:lang w:val="en-US"/>
        </w:rPr>
        <w:t xml:space="preserve"> </w:t>
      </w:r>
      <w:r>
        <w:t>είναι</w:t>
      </w:r>
      <w:r>
        <w:rPr>
          <w:lang w:val="en-US"/>
        </w:rPr>
        <w:t xml:space="preserve"> Random access, batch mode </w:t>
      </w:r>
      <w:r>
        <w:t>και</w:t>
      </w:r>
      <w:r>
        <w:rPr>
          <w:lang w:val="en-US"/>
        </w:rPr>
        <w:t xml:space="preserve"> STAT function.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Η μέθοδος που χρησιμοποιεί ο αναλυτής να παρέχει αξιοπιστία και ευαισθησία, κατά προτίμηση άμεση </w:t>
      </w:r>
      <w:proofErr w:type="spellStart"/>
      <w:r>
        <w:t>χημειοφωταύγεια</w:t>
      </w:r>
      <w:proofErr w:type="spellEnd"/>
      <w:r>
        <w:t>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έχει δυνατότητα υποδοχής τουλάχιστον 110 δειγμάτων και να είναι συνεχούς φόρτωσης.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Ο χώρος των αντιδραστηρίων να είναι </w:t>
      </w:r>
      <w:proofErr w:type="spellStart"/>
      <w:r>
        <w:t>ψυχόμενος</w:t>
      </w:r>
      <w:proofErr w:type="spellEnd"/>
      <w:r>
        <w:t>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έχει δυνατότητα υποδοχής τουλάχιστον 1</w:t>
      </w:r>
      <w:r w:rsidRPr="001A2821">
        <w:t>5</w:t>
      </w:r>
      <w:r>
        <w:t xml:space="preserve"> διαφορετικών αντιδραστηρίων.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χρησιμοποιεί όλους τους τύπους σωληναρίων.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διαθέτει ανιχνευτή για τη στάθμη των υγρών και των αντιδραστηρίων.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Η ταχύτητα του αναλυτή να είναι τουλάχιστον 140 </w:t>
      </w:r>
      <w:r>
        <w:rPr>
          <w:lang w:val="en-US"/>
        </w:rPr>
        <w:t>test</w:t>
      </w:r>
      <w:r>
        <w:t>/ώρα 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Η αναγνώριση των αντιδραστηρίων από τον αναλυτή να γίνεται με </w:t>
      </w:r>
      <w:r>
        <w:rPr>
          <w:lang w:val="en-US"/>
        </w:rPr>
        <w:t>bar</w:t>
      </w:r>
      <w:r>
        <w:t>-</w:t>
      </w:r>
      <w:r>
        <w:rPr>
          <w:lang w:val="en-US"/>
        </w:rPr>
        <w:t>code</w:t>
      </w:r>
      <w:r>
        <w:t xml:space="preserve"> ή άλλη σύγχρονη μέθοδο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Το αντιδραστήριο και τα αντίστοιχα διαλύματα των </w:t>
      </w:r>
      <w:r>
        <w:rPr>
          <w:lang w:val="en-US"/>
        </w:rPr>
        <w:t>calibrators</w:t>
      </w:r>
      <w:r>
        <w:t xml:space="preserve"> και των </w:t>
      </w:r>
      <w:r>
        <w:rPr>
          <w:lang w:val="en-US"/>
        </w:rPr>
        <w:t>diluents</w:t>
      </w:r>
      <w:r>
        <w:t xml:space="preserve"> να είναι στην ίδια συσκευασία.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εκτελεί αυτόματη αραίωση στα εκτός ορίων δείγματα.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Ο αναλυτής να συνοδεύεται από Η/Υ με οθόνη υψηλής ευκρίνειας για την επεξεργασία των δεδομένων.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>Να συνδέεται με εξωτερικό υπολογιστή.</w:t>
      </w:r>
    </w:p>
    <w:p w:rsidR="00DE3DA6" w:rsidRDefault="00DE3DA6" w:rsidP="00DE3DA6">
      <w:pPr>
        <w:numPr>
          <w:ilvl w:val="0"/>
          <w:numId w:val="1"/>
        </w:numPr>
        <w:jc w:val="both"/>
      </w:pPr>
      <w:r>
        <w:t xml:space="preserve">Να λειτουργεί στα 220 </w:t>
      </w:r>
      <w:r>
        <w:rPr>
          <w:lang w:val="en-US"/>
        </w:rPr>
        <w:t>Volt</w:t>
      </w:r>
      <w:r>
        <w:t>.</w:t>
      </w:r>
    </w:p>
    <w:p w:rsidR="00DE3DA6" w:rsidRDefault="00DE3DA6" w:rsidP="00334AD2">
      <w:pPr>
        <w:ind w:left="-567"/>
        <w:jc w:val="both"/>
      </w:pPr>
    </w:p>
    <w:p w:rsidR="005E3A7E" w:rsidRDefault="005E3A7E" w:rsidP="00334AD2">
      <w:pPr>
        <w:ind w:left="-567"/>
        <w:jc w:val="both"/>
      </w:pPr>
    </w:p>
    <w:p w:rsidR="005E3A7E" w:rsidRDefault="005E3A7E" w:rsidP="00334AD2">
      <w:pPr>
        <w:ind w:left="-567"/>
        <w:jc w:val="both"/>
      </w:pPr>
    </w:p>
    <w:p w:rsidR="005E3A7E" w:rsidRDefault="005E3A7E" w:rsidP="00334AD2">
      <w:pPr>
        <w:ind w:left="-567"/>
        <w:jc w:val="both"/>
      </w:pPr>
    </w:p>
    <w:p w:rsidR="005E3A7E" w:rsidRDefault="005E3A7E" w:rsidP="00334AD2">
      <w:pPr>
        <w:ind w:left="-567"/>
        <w:jc w:val="both"/>
      </w:pPr>
    </w:p>
    <w:p w:rsidR="005E3A7E" w:rsidRDefault="005E3A7E" w:rsidP="00334AD2">
      <w:pPr>
        <w:ind w:left="-567"/>
        <w:jc w:val="both"/>
      </w:pPr>
    </w:p>
    <w:p w:rsidR="005E3A7E" w:rsidRDefault="005E3A7E" w:rsidP="005E3A7E">
      <w:pPr>
        <w:jc w:val="both"/>
      </w:pPr>
    </w:p>
    <w:p w:rsidR="005E3A7E" w:rsidRPr="00EB2F9A" w:rsidRDefault="005E3A7E" w:rsidP="005E3A7E">
      <w:pPr>
        <w:ind w:hanging="567"/>
        <w:jc w:val="right"/>
      </w:pPr>
    </w:p>
    <w:p w:rsidR="005E3A7E" w:rsidRPr="00590300" w:rsidRDefault="005E3A7E" w:rsidP="00334AD2">
      <w:pPr>
        <w:ind w:left="-567"/>
        <w:jc w:val="both"/>
      </w:pPr>
    </w:p>
    <w:sectPr w:rsidR="005E3A7E" w:rsidRPr="00590300" w:rsidSect="00C312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C19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75B"/>
    <w:rsid w:val="001632F7"/>
    <w:rsid w:val="001C722B"/>
    <w:rsid w:val="003110A7"/>
    <w:rsid w:val="00334AD2"/>
    <w:rsid w:val="004F5F4A"/>
    <w:rsid w:val="00590300"/>
    <w:rsid w:val="005E3A7E"/>
    <w:rsid w:val="00625B62"/>
    <w:rsid w:val="00645F0B"/>
    <w:rsid w:val="0064608B"/>
    <w:rsid w:val="007475F0"/>
    <w:rsid w:val="009357FE"/>
    <w:rsid w:val="0094405E"/>
    <w:rsid w:val="00964497"/>
    <w:rsid w:val="009B7A0D"/>
    <w:rsid w:val="00A4075B"/>
    <w:rsid w:val="00C312D7"/>
    <w:rsid w:val="00D25464"/>
    <w:rsid w:val="00DE3DA6"/>
    <w:rsid w:val="00F617F6"/>
    <w:rsid w:val="00F748C8"/>
    <w:rsid w:val="00FF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2022-10-17T10:06:00Z</cp:lastPrinted>
  <dcterms:created xsi:type="dcterms:W3CDTF">2022-10-24T09:48:00Z</dcterms:created>
  <dcterms:modified xsi:type="dcterms:W3CDTF">2022-12-13T12:13:00Z</dcterms:modified>
</cp:coreProperties>
</file>